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EE3E" w14:textId="6AC99F9A" w:rsidR="00683728" w:rsidRDefault="000C5DD0">
      <w:pPr>
        <w:spacing w:before="79"/>
        <w:ind w:left="3539" w:hanging="2998"/>
        <w:rPr>
          <w:b/>
          <w:sz w:val="24"/>
        </w:rPr>
      </w:pPr>
      <w:r>
        <w:rPr>
          <w:b/>
          <w:sz w:val="24"/>
        </w:rPr>
        <w:t>Keweenaw</w:t>
      </w:r>
      <w:r>
        <w:rPr>
          <w:b/>
          <w:spacing w:val="-5"/>
          <w:sz w:val="24"/>
        </w:rPr>
        <w:t xml:space="preserve"> </w:t>
      </w:r>
      <w:r>
        <w:rPr>
          <w:b/>
          <w:sz w:val="24"/>
        </w:rPr>
        <w:t>Land</w:t>
      </w:r>
      <w:r>
        <w:rPr>
          <w:b/>
          <w:spacing w:val="-4"/>
          <w:sz w:val="24"/>
        </w:rPr>
        <w:t xml:space="preserve"> </w:t>
      </w:r>
      <w:r>
        <w:rPr>
          <w:b/>
          <w:sz w:val="24"/>
        </w:rPr>
        <w:t>Announces</w:t>
      </w:r>
      <w:r>
        <w:rPr>
          <w:b/>
          <w:spacing w:val="-4"/>
          <w:sz w:val="24"/>
        </w:rPr>
        <w:t xml:space="preserve"> </w:t>
      </w:r>
      <w:r>
        <w:rPr>
          <w:b/>
          <w:sz w:val="24"/>
        </w:rPr>
        <w:t>Final</w:t>
      </w:r>
      <w:r>
        <w:rPr>
          <w:b/>
          <w:spacing w:val="-4"/>
          <w:sz w:val="24"/>
        </w:rPr>
        <w:t xml:space="preserve"> </w:t>
      </w:r>
      <w:r>
        <w:rPr>
          <w:b/>
          <w:sz w:val="24"/>
        </w:rPr>
        <w:t>Vote</w:t>
      </w:r>
      <w:r>
        <w:rPr>
          <w:b/>
          <w:spacing w:val="-5"/>
          <w:sz w:val="24"/>
        </w:rPr>
        <w:t xml:space="preserve"> </w:t>
      </w:r>
      <w:r>
        <w:rPr>
          <w:b/>
          <w:sz w:val="24"/>
        </w:rPr>
        <w:t>Results</w:t>
      </w:r>
      <w:r>
        <w:rPr>
          <w:b/>
          <w:spacing w:val="-4"/>
          <w:sz w:val="24"/>
        </w:rPr>
        <w:t xml:space="preserve"> </w:t>
      </w:r>
      <w:r>
        <w:rPr>
          <w:b/>
          <w:sz w:val="24"/>
        </w:rPr>
        <w:t>on</w:t>
      </w:r>
      <w:r>
        <w:rPr>
          <w:b/>
          <w:spacing w:val="-4"/>
          <w:sz w:val="24"/>
        </w:rPr>
        <w:t xml:space="preserve"> </w:t>
      </w:r>
      <w:r>
        <w:rPr>
          <w:b/>
          <w:sz w:val="24"/>
        </w:rPr>
        <w:t>Matters</w:t>
      </w:r>
      <w:r>
        <w:rPr>
          <w:b/>
          <w:spacing w:val="-4"/>
          <w:sz w:val="24"/>
        </w:rPr>
        <w:t xml:space="preserve"> </w:t>
      </w:r>
      <w:r>
        <w:rPr>
          <w:b/>
          <w:sz w:val="24"/>
        </w:rPr>
        <w:t>Before</w:t>
      </w:r>
      <w:r>
        <w:rPr>
          <w:b/>
          <w:spacing w:val="-3"/>
          <w:sz w:val="24"/>
        </w:rPr>
        <w:t xml:space="preserve"> </w:t>
      </w:r>
      <w:r>
        <w:rPr>
          <w:b/>
          <w:sz w:val="24"/>
        </w:rPr>
        <w:t>the</w:t>
      </w:r>
      <w:r>
        <w:rPr>
          <w:b/>
          <w:spacing w:val="-3"/>
          <w:sz w:val="24"/>
        </w:rPr>
        <w:t xml:space="preserve"> </w:t>
      </w:r>
      <w:r>
        <w:rPr>
          <w:b/>
          <w:sz w:val="24"/>
        </w:rPr>
        <w:t>202</w:t>
      </w:r>
      <w:r w:rsidR="0097014E">
        <w:rPr>
          <w:b/>
          <w:sz w:val="24"/>
        </w:rPr>
        <w:t>6</w:t>
      </w:r>
      <w:r>
        <w:rPr>
          <w:b/>
          <w:spacing w:val="-4"/>
          <w:sz w:val="24"/>
        </w:rPr>
        <w:t xml:space="preserve"> </w:t>
      </w:r>
      <w:r>
        <w:rPr>
          <w:b/>
          <w:sz w:val="24"/>
        </w:rPr>
        <w:t>Annual Meeting of Shareholders</w:t>
      </w:r>
    </w:p>
    <w:p w14:paraId="3CBDEE3F" w14:textId="77777777" w:rsidR="00683728" w:rsidRDefault="00683728">
      <w:pPr>
        <w:pStyle w:val="BodyText"/>
        <w:ind w:left="0"/>
        <w:rPr>
          <w:b/>
        </w:rPr>
      </w:pPr>
    </w:p>
    <w:p w14:paraId="3CBDEE40" w14:textId="77777777" w:rsidR="00683728" w:rsidRDefault="00683728">
      <w:pPr>
        <w:pStyle w:val="BodyText"/>
        <w:ind w:left="0"/>
        <w:rPr>
          <w:b/>
        </w:rPr>
      </w:pPr>
    </w:p>
    <w:p w14:paraId="3CBDEE41" w14:textId="52DA0C3F" w:rsidR="00683728" w:rsidRDefault="000C5DD0">
      <w:pPr>
        <w:pStyle w:val="BodyText"/>
        <w:ind w:right="179"/>
      </w:pPr>
      <w:r>
        <w:t>IRONWOOD,</w:t>
      </w:r>
      <w:r>
        <w:rPr>
          <w:spacing w:val="-4"/>
        </w:rPr>
        <w:t xml:space="preserve"> </w:t>
      </w:r>
      <w:r>
        <w:t>Mich.,</w:t>
      </w:r>
      <w:r>
        <w:rPr>
          <w:spacing w:val="-4"/>
        </w:rPr>
        <w:t xml:space="preserve"> </w:t>
      </w:r>
      <w:r w:rsidR="00AB59C5">
        <w:t xml:space="preserve">May </w:t>
      </w:r>
      <w:r w:rsidR="0006636C">
        <w:t>5</w:t>
      </w:r>
      <w:r>
        <w:t>,</w:t>
      </w:r>
      <w:r>
        <w:rPr>
          <w:spacing w:val="-4"/>
        </w:rPr>
        <w:t xml:space="preserve"> </w:t>
      </w:r>
      <w:r>
        <w:t>202</w:t>
      </w:r>
      <w:r w:rsidR="0006636C">
        <w:t>6</w:t>
      </w:r>
      <w:r>
        <w:rPr>
          <w:spacing w:val="-4"/>
        </w:rPr>
        <w:t xml:space="preserve"> </w:t>
      </w:r>
      <w:r>
        <w:t>–</w:t>
      </w:r>
      <w:r>
        <w:rPr>
          <w:spacing w:val="-4"/>
        </w:rPr>
        <w:t xml:space="preserve"> </w:t>
      </w:r>
      <w:r>
        <w:t>Keweenaw</w:t>
      </w:r>
      <w:r>
        <w:rPr>
          <w:spacing w:val="-3"/>
        </w:rPr>
        <w:t xml:space="preserve"> </w:t>
      </w:r>
      <w:r>
        <w:t>Land</w:t>
      </w:r>
      <w:r>
        <w:rPr>
          <w:spacing w:val="-4"/>
        </w:rPr>
        <w:t xml:space="preserve"> </w:t>
      </w:r>
      <w:r>
        <w:t>Association,</w:t>
      </w:r>
      <w:r>
        <w:rPr>
          <w:spacing w:val="-4"/>
        </w:rPr>
        <w:t xml:space="preserve"> </w:t>
      </w:r>
      <w:r>
        <w:t>Limited</w:t>
      </w:r>
      <w:r>
        <w:rPr>
          <w:spacing w:val="-4"/>
        </w:rPr>
        <w:t xml:space="preserve"> </w:t>
      </w:r>
      <w:r>
        <w:t>(OTC</w:t>
      </w:r>
      <w:r>
        <w:rPr>
          <w:spacing w:val="-4"/>
        </w:rPr>
        <w:t xml:space="preserve"> </w:t>
      </w:r>
      <w:r>
        <w:t>US:</w:t>
      </w:r>
      <w:r>
        <w:rPr>
          <w:spacing w:val="-4"/>
        </w:rPr>
        <w:t xml:space="preserve"> </w:t>
      </w:r>
      <w:r>
        <w:t xml:space="preserve">KEWL) (“Keweenaw” or the “Company”) today announced the results of the shareholder vote of the proposals presented at the Company’s annual meeting held on </w:t>
      </w:r>
      <w:r w:rsidR="00AB59C5">
        <w:t>May</w:t>
      </w:r>
      <w:r w:rsidR="0040043A">
        <w:t xml:space="preserve"> </w:t>
      </w:r>
      <w:r w:rsidR="0006636C">
        <w:t>5</w:t>
      </w:r>
      <w:r>
        <w:t>, 202</w:t>
      </w:r>
      <w:r w:rsidR="003D0629">
        <w:t>6</w:t>
      </w:r>
      <w:r>
        <w:t xml:space="preserve">, which are as </w:t>
      </w:r>
      <w:r>
        <w:rPr>
          <w:spacing w:val="-2"/>
        </w:rPr>
        <w:t>follows:</w:t>
      </w:r>
    </w:p>
    <w:p w14:paraId="3CBDEE42" w14:textId="77777777" w:rsidR="00683728" w:rsidRDefault="00683728">
      <w:pPr>
        <w:pStyle w:val="BodyText"/>
        <w:ind w:left="0"/>
      </w:pPr>
    </w:p>
    <w:p w14:paraId="3CBDEE43" w14:textId="3EB16F35" w:rsidR="00683728" w:rsidRDefault="000C5DD0">
      <w:pPr>
        <w:pStyle w:val="BodyText"/>
        <w:spacing w:after="32"/>
      </w:pPr>
      <w:r>
        <w:t>Proposal</w:t>
      </w:r>
      <w:r>
        <w:rPr>
          <w:spacing w:val="-3"/>
        </w:rPr>
        <w:t xml:space="preserve"> </w:t>
      </w:r>
      <w:r>
        <w:t>1:</w:t>
      </w:r>
      <w:r>
        <w:rPr>
          <w:spacing w:val="-3"/>
        </w:rPr>
        <w:t xml:space="preserve"> </w:t>
      </w:r>
      <w:r>
        <w:t>Election</w:t>
      </w:r>
      <w:r>
        <w:rPr>
          <w:spacing w:val="-3"/>
        </w:rPr>
        <w:t xml:space="preserve"> </w:t>
      </w:r>
      <w:r>
        <w:t>of</w:t>
      </w:r>
      <w:r>
        <w:rPr>
          <w:spacing w:val="-4"/>
        </w:rPr>
        <w:t xml:space="preserve"> </w:t>
      </w:r>
      <w:r>
        <w:t>three</w:t>
      </w:r>
      <w:r>
        <w:rPr>
          <w:spacing w:val="-4"/>
        </w:rPr>
        <w:t xml:space="preserve"> </w:t>
      </w:r>
      <w:r>
        <w:t>nominees</w:t>
      </w:r>
      <w:r>
        <w:rPr>
          <w:spacing w:val="-3"/>
        </w:rPr>
        <w:t xml:space="preserve"> </w:t>
      </w:r>
      <w:r>
        <w:t>to</w:t>
      </w:r>
      <w:r>
        <w:rPr>
          <w:spacing w:val="-3"/>
        </w:rPr>
        <w:t xml:space="preserve"> </w:t>
      </w:r>
      <w:r>
        <w:t>the</w:t>
      </w:r>
      <w:r>
        <w:rPr>
          <w:spacing w:val="-4"/>
        </w:rPr>
        <w:t xml:space="preserve"> </w:t>
      </w:r>
      <w:r>
        <w:t>Board</w:t>
      </w:r>
      <w:r>
        <w:rPr>
          <w:spacing w:val="-3"/>
        </w:rPr>
        <w:t xml:space="preserve"> </w:t>
      </w:r>
      <w:r>
        <w:t>of</w:t>
      </w:r>
      <w:r>
        <w:rPr>
          <w:spacing w:val="-4"/>
        </w:rPr>
        <w:t xml:space="preserve"> </w:t>
      </w:r>
      <w:r>
        <w:t>Directors,</w:t>
      </w:r>
      <w:r>
        <w:rPr>
          <w:spacing w:val="-1"/>
        </w:rPr>
        <w:t xml:space="preserve"> </w:t>
      </w:r>
      <w:r>
        <w:t>each</w:t>
      </w:r>
      <w:r>
        <w:rPr>
          <w:spacing w:val="-3"/>
        </w:rPr>
        <w:t xml:space="preserve"> </w:t>
      </w:r>
      <w:r>
        <w:t>for</w:t>
      </w:r>
      <w:r>
        <w:rPr>
          <w:spacing w:val="-2"/>
        </w:rPr>
        <w:t xml:space="preserve"> </w:t>
      </w:r>
      <w:r>
        <w:t>a</w:t>
      </w:r>
      <w:r>
        <w:rPr>
          <w:spacing w:val="-2"/>
        </w:rPr>
        <w:t xml:space="preserve"> </w:t>
      </w:r>
      <w:r>
        <w:t>term</w:t>
      </w:r>
      <w:r>
        <w:rPr>
          <w:spacing w:val="-3"/>
        </w:rPr>
        <w:t xml:space="preserve"> </w:t>
      </w:r>
      <w:r>
        <w:t>expiring</w:t>
      </w:r>
      <w:r>
        <w:rPr>
          <w:spacing w:val="-3"/>
        </w:rPr>
        <w:t xml:space="preserve"> </w:t>
      </w:r>
      <w:r>
        <w:t>at</w:t>
      </w:r>
      <w:r>
        <w:rPr>
          <w:spacing w:val="-3"/>
        </w:rPr>
        <w:t xml:space="preserve"> </w:t>
      </w:r>
      <w:r>
        <w:t>the 202</w:t>
      </w:r>
      <w:r w:rsidR="003D0629">
        <w:t>7</w:t>
      </w:r>
      <w:r>
        <w:t xml:space="preserve"> Annual Meeting.</w:t>
      </w:r>
    </w:p>
    <w:tbl>
      <w:tblPr>
        <w:tblW w:w="0" w:type="auto"/>
        <w:jc w:val="center"/>
        <w:tblLayout w:type="fixed"/>
        <w:tblCellMar>
          <w:left w:w="0" w:type="dxa"/>
          <w:right w:w="0" w:type="dxa"/>
        </w:tblCellMar>
        <w:tblLook w:val="01E0" w:firstRow="1" w:lastRow="1" w:firstColumn="1" w:lastColumn="1" w:noHBand="0" w:noVBand="0"/>
      </w:tblPr>
      <w:tblGrid>
        <w:gridCol w:w="2349"/>
        <w:gridCol w:w="1766"/>
        <w:gridCol w:w="1560"/>
        <w:gridCol w:w="2015"/>
      </w:tblGrid>
      <w:tr w:rsidR="00683728" w14:paraId="3CBDEE48" w14:textId="77777777" w:rsidTr="005464CF">
        <w:trPr>
          <w:trHeight w:val="292"/>
          <w:jc w:val="center"/>
        </w:trPr>
        <w:tc>
          <w:tcPr>
            <w:tcW w:w="2349" w:type="dxa"/>
          </w:tcPr>
          <w:p w14:paraId="3CBDEE44" w14:textId="77777777" w:rsidR="00683728" w:rsidRDefault="00683728">
            <w:pPr>
              <w:pStyle w:val="TableParagraph"/>
              <w:ind w:left="0"/>
              <w:jc w:val="left"/>
              <w:rPr>
                <w:sz w:val="20"/>
              </w:rPr>
            </w:pPr>
          </w:p>
        </w:tc>
        <w:tc>
          <w:tcPr>
            <w:tcW w:w="1766" w:type="dxa"/>
          </w:tcPr>
          <w:p w14:paraId="3CBDEE45" w14:textId="77777777" w:rsidR="00683728" w:rsidRDefault="000C5DD0">
            <w:pPr>
              <w:pStyle w:val="TableParagraph"/>
              <w:spacing w:line="266" w:lineRule="exact"/>
              <w:ind w:right="2"/>
              <w:rPr>
                <w:sz w:val="24"/>
              </w:rPr>
            </w:pPr>
            <w:r>
              <w:rPr>
                <w:spacing w:val="-5"/>
                <w:sz w:val="24"/>
                <w:u w:val="single"/>
              </w:rPr>
              <w:t>For</w:t>
            </w:r>
          </w:p>
        </w:tc>
        <w:tc>
          <w:tcPr>
            <w:tcW w:w="1560" w:type="dxa"/>
          </w:tcPr>
          <w:p w14:paraId="3CBDEE46" w14:textId="77777777" w:rsidR="00683728" w:rsidRDefault="000C5DD0">
            <w:pPr>
              <w:pStyle w:val="TableParagraph"/>
              <w:spacing w:line="266" w:lineRule="exact"/>
              <w:ind w:left="171" w:right="2"/>
              <w:rPr>
                <w:sz w:val="24"/>
              </w:rPr>
            </w:pPr>
            <w:r>
              <w:rPr>
                <w:spacing w:val="-2"/>
                <w:sz w:val="24"/>
                <w:u w:val="single"/>
              </w:rPr>
              <w:t>Withhold</w:t>
            </w:r>
          </w:p>
        </w:tc>
        <w:tc>
          <w:tcPr>
            <w:tcW w:w="2015" w:type="dxa"/>
          </w:tcPr>
          <w:p w14:paraId="3CBDEE47" w14:textId="77777777" w:rsidR="00683728" w:rsidRDefault="000C5DD0">
            <w:pPr>
              <w:pStyle w:val="TableParagraph"/>
              <w:spacing w:line="266" w:lineRule="exact"/>
              <w:ind w:left="196" w:right="3"/>
              <w:rPr>
                <w:sz w:val="24"/>
              </w:rPr>
            </w:pPr>
            <w:r>
              <w:rPr>
                <w:sz w:val="24"/>
                <w:u w:val="single"/>
              </w:rPr>
              <w:t>Broker</w:t>
            </w:r>
            <w:r>
              <w:rPr>
                <w:spacing w:val="-5"/>
                <w:sz w:val="24"/>
                <w:u w:val="single"/>
              </w:rPr>
              <w:t xml:space="preserve"> </w:t>
            </w:r>
            <w:r>
              <w:rPr>
                <w:sz w:val="24"/>
                <w:u w:val="single"/>
              </w:rPr>
              <w:t>Non-</w:t>
            </w:r>
            <w:r>
              <w:rPr>
                <w:spacing w:val="-4"/>
                <w:sz w:val="24"/>
                <w:u w:val="single"/>
              </w:rPr>
              <w:t>votes</w:t>
            </w:r>
          </w:p>
        </w:tc>
      </w:tr>
      <w:tr w:rsidR="00683728" w14:paraId="3CBDEE4D" w14:textId="77777777" w:rsidTr="005464CF">
        <w:trPr>
          <w:trHeight w:val="332"/>
          <w:jc w:val="center"/>
        </w:trPr>
        <w:tc>
          <w:tcPr>
            <w:tcW w:w="2349" w:type="dxa"/>
          </w:tcPr>
          <w:p w14:paraId="3CBDEE49" w14:textId="77777777" w:rsidR="00683728" w:rsidRDefault="000C5DD0">
            <w:pPr>
              <w:pStyle w:val="TableParagraph"/>
              <w:spacing w:before="40" w:line="272" w:lineRule="exact"/>
              <w:ind w:left="50"/>
              <w:jc w:val="left"/>
              <w:rPr>
                <w:sz w:val="24"/>
              </w:rPr>
            </w:pPr>
            <w:r>
              <w:rPr>
                <w:sz w:val="24"/>
              </w:rPr>
              <w:t>James</w:t>
            </w:r>
            <w:r>
              <w:rPr>
                <w:spacing w:val="-2"/>
                <w:sz w:val="24"/>
              </w:rPr>
              <w:t xml:space="preserve"> </w:t>
            </w:r>
            <w:r>
              <w:rPr>
                <w:sz w:val="24"/>
              </w:rPr>
              <w:t>A.</w:t>
            </w:r>
            <w:r>
              <w:rPr>
                <w:spacing w:val="-1"/>
                <w:sz w:val="24"/>
              </w:rPr>
              <w:t xml:space="preserve"> </w:t>
            </w:r>
            <w:r>
              <w:rPr>
                <w:spacing w:val="-5"/>
                <w:sz w:val="24"/>
              </w:rPr>
              <w:t>Mai</w:t>
            </w:r>
          </w:p>
        </w:tc>
        <w:tc>
          <w:tcPr>
            <w:tcW w:w="1766" w:type="dxa"/>
          </w:tcPr>
          <w:p w14:paraId="3CBDEE4A" w14:textId="15E0950B" w:rsidR="00683728" w:rsidRPr="005464CF" w:rsidRDefault="00760D1A">
            <w:pPr>
              <w:pStyle w:val="TableParagraph"/>
              <w:spacing w:before="16"/>
              <w:rPr>
                <w:sz w:val="24"/>
              </w:rPr>
            </w:pPr>
            <w:r w:rsidRPr="005464CF">
              <w:rPr>
                <w:spacing w:val="-2"/>
                <w:sz w:val="24"/>
              </w:rPr>
              <w:t>7</w:t>
            </w:r>
            <w:r w:rsidR="00DE4485">
              <w:rPr>
                <w:spacing w:val="-2"/>
                <w:sz w:val="24"/>
              </w:rPr>
              <w:t>39</w:t>
            </w:r>
            <w:r w:rsidR="000C5DD0" w:rsidRPr="005464CF">
              <w:rPr>
                <w:spacing w:val="-2"/>
                <w:sz w:val="24"/>
              </w:rPr>
              <w:t>,</w:t>
            </w:r>
            <w:r w:rsidR="00DE4485">
              <w:rPr>
                <w:spacing w:val="-2"/>
                <w:sz w:val="24"/>
              </w:rPr>
              <w:t>384</w:t>
            </w:r>
          </w:p>
        </w:tc>
        <w:tc>
          <w:tcPr>
            <w:tcW w:w="1560" w:type="dxa"/>
          </w:tcPr>
          <w:p w14:paraId="3CBDEE4B" w14:textId="02F563A6" w:rsidR="00683728" w:rsidRDefault="00DE4485">
            <w:pPr>
              <w:pStyle w:val="TableParagraph"/>
              <w:spacing w:before="16"/>
              <w:ind w:left="171"/>
              <w:rPr>
                <w:sz w:val="24"/>
              </w:rPr>
            </w:pPr>
            <w:r>
              <w:rPr>
                <w:spacing w:val="-2"/>
                <w:sz w:val="24"/>
              </w:rPr>
              <w:t>19</w:t>
            </w:r>
            <w:r w:rsidR="000C5DD0" w:rsidRPr="005464CF">
              <w:rPr>
                <w:spacing w:val="-2"/>
                <w:sz w:val="24"/>
              </w:rPr>
              <w:t>,</w:t>
            </w:r>
            <w:r>
              <w:rPr>
                <w:spacing w:val="-2"/>
                <w:sz w:val="24"/>
              </w:rPr>
              <w:t>307</w:t>
            </w:r>
          </w:p>
        </w:tc>
        <w:tc>
          <w:tcPr>
            <w:tcW w:w="2015" w:type="dxa"/>
          </w:tcPr>
          <w:p w14:paraId="3CBDEE4C" w14:textId="75EAADCF" w:rsidR="00683728" w:rsidRDefault="00577390">
            <w:pPr>
              <w:pStyle w:val="TableParagraph"/>
              <w:spacing w:before="16"/>
              <w:ind w:left="196"/>
              <w:rPr>
                <w:sz w:val="24"/>
              </w:rPr>
            </w:pPr>
            <w:r>
              <w:rPr>
                <w:sz w:val="24"/>
              </w:rPr>
              <w:t>0</w:t>
            </w:r>
          </w:p>
        </w:tc>
      </w:tr>
      <w:tr w:rsidR="00683728" w14:paraId="3CBDEE52" w14:textId="77777777" w:rsidTr="00F7327F">
        <w:trPr>
          <w:trHeight w:val="319"/>
          <w:jc w:val="center"/>
        </w:trPr>
        <w:tc>
          <w:tcPr>
            <w:tcW w:w="2349" w:type="dxa"/>
          </w:tcPr>
          <w:p w14:paraId="3CBDEE4E" w14:textId="77777777" w:rsidR="00683728" w:rsidRDefault="000C5DD0">
            <w:pPr>
              <w:pStyle w:val="TableParagraph"/>
              <w:spacing w:before="27" w:line="272" w:lineRule="exact"/>
              <w:ind w:left="50"/>
              <w:jc w:val="left"/>
              <w:rPr>
                <w:sz w:val="24"/>
              </w:rPr>
            </w:pPr>
            <w:r>
              <w:rPr>
                <w:sz w:val="24"/>
              </w:rPr>
              <w:t>Eric</w:t>
            </w:r>
            <w:r>
              <w:rPr>
                <w:spacing w:val="-5"/>
                <w:sz w:val="24"/>
              </w:rPr>
              <w:t xml:space="preserve"> </w:t>
            </w:r>
            <w:r>
              <w:rPr>
                <w:sz w:val="24"/>
              </w:rPr>
              <w:t>H.</w:t>
            </w:r>
            <w:r>
              <w:rPr>
                <w:spacing w:val="-1"/>
                <w:sz w:val="24"/>
              </w:rPr>
              <w:t xml:space="preserve"> </w:t>
            </w:r>
            <w:r>
              <w:rPr>
                <w:spacing w:val="-2"/>
                <w:sz w:val="24"/>
              </w:rPr>
              <w:t>Speron</w:t>
            </w:r>
          </w:p>
        </w:tc>
        <w:tc>
          <w:tcPr>
            <w:tcW w:w="1766" w:type="dxa"/>
          </w:tcPr>
          <w:p w14:paraId="3CBDEE4F" w14:textId="4F61AF3A" w:rsidR="00683728" w:rsidRDefault="00DE4485">
            <w:pPr>
              <w:pStyle w:val="TableParagraph"/>
              <w:spacing w:before="5"/>
              <w:rPr>
                <w:sz w:val="24"/>
              </w:rPr>
            </w:pPr>
            <w:r>
              <w:rPr>
                <w:spacing w:val="-2"/>
                <w:sz w:val="24"/>
              </w:rPr>
              <w:t>742</w:t>
            </w:r>
            <w:r w:rsidR="000C5DD0" w:rsidRPr="005464CF">
              <w:rPr>
                <w:spacing w:val="-2"/>
                <w:sz w:val="24"/>
              </w:rPr>
              <w:t>,</w:t>
            </w:r>
            <w:r w:rsidR="001A3B86">
              <w:rPr>
                <w:spacing w:val="-2"/>
                <w:sz w:val="24"/>
              </w:rPr>
              <w:t>419</w:t>
            </w:r>
          </w:p>
        </w:tc>
        <w:tc>
          <w:tcPr>
            <w:tcW w:w="1560" w:type="dxa"/>
          </w:tcPr>
          <w:p w14:paraId="3CBDEE50" w14:textId="0309DD08" w:rsidR="00683728" w:rsidRDefault="001A3B86">
            <w:pPr>
              <w:pStyle w:val="TableParagraph"/>
              <w:spacing w:before="5"/>
              <w:ind w:left="171"/>
              <w:rPr>
                <w:sz w:val="24"/>
              </w:rPr>
            </w:pPr>
            <w:r>
              <w:rPr>
                <w:spacing w:val="-2"/>
                <w:sz w:val="24"/>
              </w:rPr>
              <w:t>16</w:t>
            </w:r>
            <w:r w:rsidR="008909A2" w:rsidRPr="005464CF">
              <w:rPr>
                <w:spacing w:val="-2"/>
                <w:sz w:val="24"/>
              </w:rPr>
              <w:t>,</w:t>
            </w:r>
            <w:r>
              <w:rPr>
                <w:spacing w:val="-2"/>
                <w:sz w:val="24"/>
              </w:rPr>
              <w:t>272</w:t>
            </w:r>
          </w:p>
        </w:tc>
        <w:tc>
          <w:tcPr>
            <w:tcW w:w="2015" w:type="dxa"/>
          </w:tcPr>
          <w:p w14:paraId="3CBDEE51" w14:textId="6954EF4F" w:rsidR="00683728" w:rsidRDefault="00577390">
            <w:pPr>
              <w:pStyle w:val="TableParagraph"/>
              <w:spacing w:before="5"/>
              <w:ind w:left="196"/>
              <w:rPr>
                <w:sz w:val="24"/>
              </w:rPr>
            </w:pPr>
            <w:r>
              <w:rPr>
                <w:spacing w:val="-2"/>
                <w:sz w:val="24"/>
              </w:rPr>
              <w:t>0</w:t>
            </w:r>
          </w:p>
        </w:tc>
      </w:tr>
      <w:tr w:rsidR="00683728" w14:paraId="3CBDEE57" w14:textId="77777777" w:rsidTr="00986551">
        <w:trPr>
          <w:trHeight w:val="303"/>
          <w:jc w:val="center"/>
        </w:trPr>
        <w:tc>
          <w:tcPr>
            <w:tcW w:w="2349" w:type="dxa"/>
          </w:tcPr>
          <w:p w14:paraId="3CBDEE53" w14:textId="77777777" w:rsidR="00683728" w:rsidRDefault="000C5DD0">
            <w:pPr>
              <w:pStyle w:val="TableParagraph"/>
              <w:spacing w:before="27" w:line="256" w:lineRule="exact"/>
              <w:ind w:left="50"/>
              <w:jc w:val="left"/>
              <w:rPr>
                <w:sz w:val="24"/>
              </w:rPr>
            </w:pPr>
            <w:r>
              <w:rPr>
                <w:sz w:val="24"/>
              </w:rPr>
              <w:t>Mark</w:t>
            </w:r>
            <w:r>
              <w:rPr>
                <w:spacing w:val="-2"/>
                <w:sz w:val="24"/>
              </w:rPr>
              <w:t xml:space="preserve"> </w:t>
            </w:r>
            <w:r>
              <w:rPr>
                <w:sz w:val="24"/>
              </w:rPr>
              <w:t>A.</w:t>
            </w:r>
            <w:r>
              <w:rPr>
                <w:spacing w:val="-1"/>
                <w:sz w:val="24"/>
              </w:rPr>
              <w:t xml:space="preserve"> </w:t>
            </w:r>
            <w:r>
              <w:rPr>
                <w:spacing w:val="-2"/>
                <w:sz w:val="24"/>
              </w:rPr>
              <w:t>Sherman</w:t>
            </w:r>
          </w:p>
        </w:tc>
        <w:tc>
          <w:tcPr>
            <w:tcW w:w="1766" w:type="dxa"/>
          </w:tcPr>
          <w:p w14:paraId="3CBDEE54" w14:textId="58317491" w:rsidR="00683728" w:rsidRDefault="008909A2">
            <w:pPr>
              <w:pStyle w:val="TableParagraph"/>
              <w:spacing w:before="5"/>
              <w:rPr>
                <w:sz w:val="24"/>
              </w:rPr>
            </w:pPr>
            <w:r w:rsidRPr="005464CF">
              <w:rPr>
                <w:spacing w:val="-2"/>
                <w:sz w:val="24"/>
              </w:rPr>
              <w:t>7</w:t>
            </w:r>
            <w:r w:rsidR="001A3B86">
              <w:rPr>
                <w:spacing w:val="-2"/>
                <w:sz w:val="24"/>
              </w:rPr>
              <w:t>39</w:t>
            </w:r>
            <w:r w:rsidR="000C5DD0" w:rsidRPr="005464CF">
              <w:rPr>
                <w:spacing w:val="-2"/>
                <w:sz w:val="24"/>
              </w:rPr>
              <w:t>,</w:t>
            </w:r>
            <w:r w:rsidRPr="005464CF">
              <w:rPr>
                <w:spacing w:val="-2"/>
                <w:sz w:val="24"/>
              </w:rPr>
              <w:t>6</w:t>
            </w:r>
            <w:r w:rsidR="001A3B86">
              <w:rPr>
                <w:spacing w:val="-2"/>
                <w:sz w:val="24"/>
              </w:rPr>
              <w:t>10</w:t>
            </w:r>
          </w:p>
        </w:tc>
        <w:tc>
          <w:tcPr>
            <w:tcW w:w="1560" w:type="dxa"/>
          </w:tcPr>
          <w:p w14:paraId="3CBDEE55" w14:textId="7FA751D8" w:rsidR="00683728" w:rsidRDefault="00DD7B9E">
            <w:pPr>
              <w:pStyle w:val="TableParagraph"/>
              <w:spacing w:before="5"/>
              <w:ind w:left="171"/>
              <w:rPr>
                <w:sz w:val="24"/>
              </w:rPr>
            </w:pPr>
            <w:r>
              <w:rPr>
                <w:spacing w:val="-2"/>
                <w:sz w:val="24"/>
              </w:rPr>
              <w:t>19</w:t>
            </w:r>
            <w:r w:rsidR="000C5DD0" w:rsidRPr="005464CF">
              <w:rPr>
                <w:spacing w:val="-2"/>
                <w:sz w:val="24"/>
              </w:rPr>
              <w:t>,</w:t>
            </w:r>
            <w:r w:rsidR="008909A2" w:rsidRPr="005464CF">
              <w:rPr>
                <w:spacing w:val="-2"/>
                <w:sz w:val="24"/>
              </w:rPr>
              <w:t>0</w:t>
            </w:r>
            <w:r>
              <w:rPr>
                <w:spacing w:val="-2"/>
                <w:sz w:val="24"/>
              </w:rPr>
              <w:t>81</w:t>
            </w:r>
          </w:p>
        </w:tc>
        <w:tc>
          <w:tcPr>
            <w:tcW w:w="2015" w:type="dxa"/>
          </w:tcPr>
          <w:p w14:paraId="3CBDEE56" w14:textId="58A39C8D" w:rsidR="00683728" w:rsidRDefault="00577390">
            <w:pPr>
              <w:pStyle w:val="TableParagraph"/>
              <w:spacing w:before="5"/>
              <w:ind w:left="196"/>
              <w:rPr>
                <w:sz w:val="24"/>
              </w:rPr>
            </w:pPr>
            <w:r>
              <w:rPr>
                <w:spacing w:val="-2"/>
                <w:sz w:val="24"/>
              </w:rPr>
              <w:t>0</w:t>
            </w:r>
          </w:p>
        </w:tc>
      </w:tr>
    </w:tbl>
    <w:p w14:paraId="3CBDEE58" w14:textId="77777777" w:rsidR="00683728" w:rsidRDefault="00683728">
      <w:pPr>
        <w:pStyle w:val="BodyText"/>
        <w:spacing w:before="1"/>
        <w:ind w:left="0"/>
      </w:pPr>
    </w:p>
    <w:p w14:paraId="3CBDEE59" w14:textId="5FF6AD7C" w:rsidR="00683728" w:rsidRDefault="000C5DD0">
      <w:pPr>
        <w:pStyle w:val="BodyText"/>
      </w:pPr>
      <w:r>
        <w:t>Proposal</w:t>
      </w:r>
      <w:r>
        <w:rPr>
          <w:spacing w:val="-10"/>
        </w:rPr>
        <w:t xml:space="preserve"> </w:t>
      </w:r>
      <w:r>
        <w:t>2:</w:t>
      </w:r>
      <w:r>
        <w:rPr>
          <w:spacing w:val="40"/>
        </w:rPr>
        <w:t xml:space="preserve"> </w:t>
      </w:r>
      <w:r>
        <w:t>To</w:t>
      </w:r>
      <w:r>
        <w:rPr>
          <w:spacing w:val="-8"/>
        </w:rPr>
        <w:t xml:space="preserve"> </w:t>
      </w:r>
      <w:r>
        <w:t>ratify</w:t>
      </w:r>
      <w:r>
        <w:rPr>
          <w:spacing w:val="-8"/>
        </w:rPr>
        <w:t xml:space="preserve"> </w:t>
      </w:r>
      <w:r>
        <w:t>the</w:t>
      </w:r>
      <w:r>
        <w:rPr>
          <w:spacing w:val="-9"/>
        </w:rPr>
        <w:t xml:space="preserve"> </w:t>
      </w:r>
      <w:r>
        <w:t>appointment</w:t>
      </w:r>
      <w:r>
        <w:rPr>
          <w:spacing w:val="-10"/>
        </w:rPr>
        <w:t xml:space="preserve"> </w:t>
      </w:r>
      <w:r>
        <w:t>of</w:t>
      </w:r>
      <w:r>
        <w:rPr>
          <w:spacing w:val="-11"/>
        </w:rPr>
        <w:t xml:space="preserve"> </w:t>
      </w:r>
      <w:r>
        <w:t>Anderson,</w:t>
      </w:r>
      <w:r>
        <w:rPr>
          <w:spacing w:val="-11"/>
        </w:rPr>
        <w:t xml:space="preserve"> </w:t>
      </w:r>
      <w:r>
        <w:t>Tackman</w:t>
      </w:r>
      <w:r>
        <w:rPr>
          <w:spacing w:val="-11"/>
        </w:rPr>
        <w:t xml:space="preserve"> </w:t>
      </w:r>
      <w:r>
        <w:t>&amp;</w:t>
      </w:r>
      <w:r>
        <w:rPr>
          <w:spacing w:val="-10"/>
        </w:rPr>
        <w:t xml:space="preserve"> </w:t>
      </w:r>
      <w:r>
        <w:t>Company</w:t>
      </w:r>
      <w:r>
        <w:rPr>
          <w:spacing w:val="-8"/>
        </w:rPr>
        <w:t xml:space="preserve"> </w:t>
      </w:r>
      <w:r>
        <w:t>PLC</w:t>
      </w:r>
      <w:r>
        <w:rPr>
          <w:spacing w:val="-10"/>
        </w:rPr>
        <w:t xml:space="preserve"> </w:t>
      </w:r>
      <w:r>
        <w:t>as</w:t>
      </w:r>
      <w:r>
        <w:rPr>
          <w:spacing w:val="-10"/>
        </w:rPr>
        <w:t xml:space="preserve"> </w:t>
      </w:r>
      <w:r>
        <w:t>the</w:t>
      </w:r>
      <w:r>
        <w:rPr>
          <w:spacing w:val="-9"/>
        </w:rPr>
        <w:t xml:space="preserve"> </w:t>
      </w:r>
      <w:r>
        <w:t>Company’s independent registered public accounting firm for the fiscal year ending December 31, 202</w:t>
      </w:r>
      <w:r w:rsidR="003D0629">
        <w:t>6</w:t>
      </w:r>
      <w:r>
        <w:t>.</w:t>
      </w:r>
    </w:p>
    <w:p w14:paraId="3CBDEE5A" w14:textId="77777777" w:rsidR="00683728" w:rsidRDefault="00683728">
      <w:pPr>
        <w:pStyle w:val="BodyText"/>
        <w:spacing w:before="78"/>
        <w:ind w:left="0"/>
        <w:rPr>
          <w:sz w:val="20"/>
        </w:rPr>
      </w:pPr>
    </w:p>
    <w:tbl>
      <w:tblPr>
        <w:tblW w:w="0" w:type="auto"/>
        <w:jc w:val="center"/>
        <w:tblLayout w:type="fixed"/>
        <w:tblCellMar>
          <w:left w:w="0" w:type="dxa"/>
          <w:right w:w="0" w:type="dxa"/>
        </w:tblCellMar>
        <w:tblLook w:val="01E0" w:firstRow="1" w:lastRow="1" w:firstColumn="1" w:lastColumn="1" w:noHBand="0" w:noVBand="0"/>
      </w:tblPr>
      <w:tblGrid>
        <w:gridCol w:w="1506"/>
        <w:gridCol w:w="1882"/>
        <w:gridCol w:w="1489"/>
        <w:gridCol w:w="2056"/>
      </w:tblGrid>
      <w:tr w:rsidR="00683728" w14:paraId="3CBDEE5F" w14:textId="77777777" w:rsidTr="00494477">
        <w:trPr>
          <w:trHeight w:val="293"/>
          <w:jc w:val="center"/>
        </w:trPr>
        <w:tc>
          <w:tcPr>
            <w:tcW w:w="1506" w:type="dxa"/>
          </w:tcPr>
          <w:p w14:paraId="3CBDEE5B" w14:textId="77777777" w:rsidR="00683728" w:rsidRDefault="000C5DD0">
            <w:pPr>
              <w:pStyle w:val="TableParagraph"/>
              <w:spacing w:line="266" w:lineRule="exact"/>
              <w:ind w:left="0" w:right="625"/>
              <w:rPr>
                <w:sz w:val="24"/>
              </w:rPr>
            </w:pPr>
            <w:r>
              <w:rPr>
                <w:spacing w:val="-5"/>
                <w:sz w:val="24"/>
                <w:u w:val="single"/>
              </w:rPr>
              <w:t>For</w:t>
            </w:r>
          </w:p>
        </w:tc>
        <w:tc>
          <w:tcPr>
            <w:tcW w:w="1882" w:type="dxa"/>
          </w:tcPr>
          <w:p w14:paraId="3CBDEE5C" w14:textId="77777777" w:rsidR="00683728" w:rsidRDefault="000C5DD0">
            <w:pPr>
              <w:pStyle w:val="TableParagraph"/>
              <w:spacing w:line="266" w:lineRule="exact"/>
              <w:ind w:left="214"/>
              <w:rPr>
                <w:sz w:val="24"/>
              </w:rPr>
            </w:pPr>
            <w:r>
              <w:rPr>
                <w:spacing w:val="-2"/>
                <w:sz w:val="24"/>
                <w:u w:val="single"/>
              </w:rPr>
              <w:t>Against</w:t>
            </w:r>
          </w:p>
        </w:tc>
        <w:tc>
          <w:tcPr>
            <w:tcW w:w="1489" w:type="dxa"/>
          </w:tcPr>
          <w:p w14:paraId="3CBDEE5D" w14:textId="77777777" w:rsidR="00683728" w:rsidRDefault="000C5DD0">
            <w:pPr>
              <w:pStyle w:val="TableParagraph"/>
              <w:spacing w:line="266" w:lineRule="exact"/>
              <w:ind w:left="174"/>
              <w:rPr>
                <w:sz w:val="24"/>
              </w:rPr>
            </w:pPr>
            <w:r>
              <w:rPr>
                <w:spacing w:val="-2"/>
                <w:sz w:val="24"/>
                <w:u w:val="single"/>
              </w:rPr>
              <w:t>Abstain</w:t>
            </w:r>
          </w:p>
        </w:tc>
        <w:tc>
          <w:tcPr>
            <w:tcW w:w="2056" w:type="dxa"/>
          </w:tcPr>
          <w:p w14:paraId="3CBDEE5E" w14:textId="77777777" w:rsidR="00683728" w:rsidRDefault="000C5DD0">
            <w:pPr>
              <w:pStyle w:val="TableParagraph"/>
              <w:spacing w:line="266" w:lineRule="exact"/>
              <w:ind w:left="227"/>
              <w:rPr>
                <w:sz w:val="24"/>
              </w:rPr>
            </w:pPr>
            <w:r>
              <w:rPr>
                <w:sz w:val="24"/>
                <w:u w:val="single"/>
              </w:rPr>
              <w:t>Broker</w:t>
            </w:r>
            <w:r>
              <w:rPr>
                <w:spacing w:val="-5"/>
                <w:sz w:val="24"/>
                <w:u w:val="single"/>
              </w:rPr>
              <w:t xml:space="preserve"> </w:t>
            </w:r>
            <w:r>
              <w:rPr>
                <w:sz w:val="24"/>
                <w:u w:val="single"/>
              </w:rPr>
              <w:t>Non-</w:t>
            </w:r>
            <w:r>
              <w:rPr>
                <w:spacing w:val="-4"/>
                <w:sz w:val="24"/>
                <w:u w:val="single"/>
              </w:rPr>
              <w:t>votes</w:t>
            </w:r>
          </w:p>
        </w:tc>
      </w:tr>
      <w:tr w:rsidR="00683728" w14:paraId="3CBDEE64" w14:textId="77777777" w:rsidTr="00494477">
        <w:trPr>
          <w:trHeight w:val="293"/>
          <w:jc w:val="center"/>
        </w:trPr>
        <w:tc>
          <w:tcPr>
            <w:tcW w:w="1506" w:type="dxa"/>
          </w:tcPr>
          <w:p w14:paraId="3CBDEE60" w14:textId="784FFAA8" w:rsidR="00683728" w:rsidRDefault="00F60878">
            <w:pPr>
              <w:pStyle w:val="TableParagraph"/>
              <w:spacing w:before="17" w:line="256" w:lineRule="exact"/>
              <w:ind w:left="1" w:right="625"/>
              <w:rPr>
                <w:sz w:val="24"/>
              </w:rPr>
            </w:pPr>
            <w:r w:rsidRPr="00F7327F">
              <w:rPr>
                <w:spacing w:val="-2"/>
                <w:sz w:val="24"/>
              </w:rPr>
              <w:t>7</w:t>
            </w:r>
            <w:r w:rsidR="002468C3">
              <w:rPr>
                <w:spacing w:val="-2"/>
                <w:sz w:val="24"/>
              </w:rPr>
              <w:t>50</w:t>
            </w:r>
            <w:r w:rsidR="000C5DD0" w:rsidRPr="00F7327F">
              <w:rPr>
                <w:spacing w:val="-2"/>
                <w:sz w:val="24"/>
              </w:rPr>
              <w:t>,</w:t>
            </w:r>
            <w:r w:rsidR="002468C3">
              <w:rPr>
                <w:spacing w:val="-2"/>
                <w:sz w:val="24"/>
              </w:rPr>
              <w:t>572</w:t>
            </w:r>
          </w:p>
        </w:tc>
        <w:tc>
          <w:tcPr>
            <w:tcW w:w="1882" w:type="dxa"/>
          </w:tcPr>
          <w:p w14:paraId="3CBDEE61" w14:textId="313F3E20" w:rsidR="00683728" w:rsidRDefault="002468C3">
            <w:pPr>
              <w:pStyle w:val="TableParagraph"/>
              <w:spacing w:before="17" w:line="256" w:lineRule="exact"/>
              <w:ind w:left="214"/>
              <w:rPr>
                <w:sz w:val="24"/>
              </w:rPr>
            </w:pPr>
            <w:r>
              <w:rPr>
                <w:spacing w:val="-2"/>
                <w:sz w:val="24"/>
              </w:rPr>
              <w:t>15</w:t>
            </w:r>
            <w:r w:rsidR="000C5DD0" w:rsidRPr="00F7327F">
              <w:rPr>
                <w:spacing w:val="-2"/>
                <w:sz w:val="24"/>
              </w:rPr>
              <w:t>,</w:t>
            </w:r>
            <w:r>
              <w:rPr>
                <w:spacing w:val="-2"/>
                <w:sz w:val="24"/>
              </w:rPr>
              <w:t>026</w:t>
            </w:r>
          </w:p>
        </w:tc>
        <w:tc>
          <w:tcPr>
            <w:tcW w:w="1489" w:type="dxa"/>
          </w:tcPr>
          <w:p w14:paraId="3CBDEE62" w14:textId="29959979" w:rsidR="00683728" w:rsidRDefault="00116E43">
            <w:pPr>
              <w:pStyle w:val="TableParagraph"/>
              <w:spacing w:before="17" w:line="256" w:lineRule="exact"/>
              <w:ind w:left="174"/>
              <w:rPr>
                <w:sz w:val="24"/>
              </w:rPr>
            </w:pPr>
            <w:r>
              <w:rPr>
                <w:spacing w:val="-2"/>
                <w:sz w:val="24"/>
              </w:rPr>
              <w:t>338</w:t>
            </w:r>
          </w:p>
        </w:tc>
        <w:tc>
          <w:tcPr>
            <w:tcW w:w="2056" w:type="dxa"/>
          </w:tcPr>
          <w:p w14:paraId="3CBDEE63" w14:textId="49591654" w:rsidR="00683728" w:rsidRDefault="00577390">
            <w:pPr>
              <w:pStyle w:val="TableParagraph"/>
              <w:spacing w:before="17" w:line="256" w:lineRule="exact"/>
              <w:ind w:left="227"/>
              <w:rPr>
                <w:sz w:val="24"/>
              </w:rPr>
            </w:pPr>
            <w:r>
              <w:rPr>
                <w:sz w:val="24"/>
              </w:rPr>
              <w:t>0</w:t>
            </w:r>
          </w:p>
        </w:tc>
      </w:tr>
    </w:tbl>
    <w:p w14:paraId="3CBDEE65" w14:textId="77777777" w:rsidR="00683728" w:rsidRPr="00365F9F" w:rsidRDefault="000C5DD0">
      <w:pPr>
        <w:pStyle w:val="BodyText"/>
        <w:spacing w:before="272"/>
      </w:pPr>
      <w:r>
        <w:rPr>
          <w:noProof/>
        </w:rPr>
        <mc:AlternateContent>
          <mc:Choice Requires="wps">
            <w:drawing>
              <wp:anchor distT="0" distB="0" distL="0" distR="0" simplePos="0" relativeHeight="15728640" behindDoc="0" locked="0" layoutInCell="1" allowOverlap="1" wp14:anchorId="3CBDEE83" wp14:editId="3CBDEE84">
                <wp:simplePos x="0" y="0"/>
                <wp:positionH relativeFrom="page">
                  <wp:posOffset>2392679</wp:posOffset>
                </wp:positionH>
                <wp:positionV relativeFrom="paragraph">
                  <wp:posOffset>505880</wp:posOffset>
                </wp:positionV>
                <wp:extent cx="412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9525"/>
                        </a:xfrm>
                        <a:custGeom>
                          <a:avLst/>
                          <a:gdLst/>
                          <a:ahLst/>
                          <a:cxnLst/>
                          <a:rect l="l" t="t" r="r" b="b"/>
                          <a:pathLst>
                            <a:path w="41275" h="9525">
                              <a:moveTo>
                                <a:pt x="41148" y="9143"/>
                              </a:moveTo>
                              <a:lnTo>
                                <a:pt x="0" y="9143"/>
                              </a:lnTo>
                              <a:lnTo>
                                <a:pt x="0" y="0"/>
                              </a:lnTo>
                              <a:lnTo>
                                <a:pt x="41148" y="0"/>
                              </a:lnTo>
                              <a:lnTo>
                                <a:pt x="41148"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C640F9" id="Graphic 2" o:spid="_x0000_s1026" style="position:absolute;margin-left:188.4pt;margin-top:39.85pt;width:3.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41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" path="m41148,9143l,9143,,,41148,r,9143xe" fillcolor="black" stroked="f">
                <v:path arrowok="t"/>
                <w10:wrap anchorx="page"/>
              </v:shape>
            </w:pict>
          </mc:Fallback>
        </mc:AlternateContent>
      </w:r>
      <w:r>
        <w:t>Keweenaw</w:t>
      </w:r>
      <w:r>
        <w:rPr>
          <w:spacing w:val="-3"/>
        </w:rPr>
        <w:t xml:space="preserve"> </w:t>
      </w:r>
      <w:r>
        <w:t>also</w:t>
      </w:r>
      <w:r>
        <w:rPr>
          <w:spacing w:val="-4"/>
        </w:rPr>
        <w:t xml:space="preserve"> </w:t>
      </w:r>
      <w:r>
        <w:t>published,</w:t>
      </w:r>
      <w:r>
        <w:rPr>
          <w:spacing w:val="-4"/>
        </w:rPr>
        <w:t xml:space="preserve"> </w:t>
      </w:r>
      <w:r>
        <w:t>today,</w:t>
      </w:r>
      <w:r>
        <w:rPr>
          <w:spacing w:val="-4"/>
        </w:rPr>
        <w:t xml:space="preserve"> </w:t>
      </w:r>
      <w:r>
        <w:t xml:space="preserve">its </w:t>
      </w:r>
      <w:r>
        <w:rPr>
          <w:color w:val="954F72"/>
          <w:u w:val="single" w:color="954F72"/>
        </w:rPr>
        <w:t>Annual</w:t>
      </w:r>
      <w:r>
        <w:rPr>
          <w:color w:val="954F72"/>
          <w:spacing w:val="-4"/>
          <w:u w:val="single" w:color="954F72"/>
        </w:rPr>
        <w:t xml:space="preserve"> </w:t>
      </w:r>
      <w:r>
        <w:rPr>
          <w:color w:val="954F72"/>
          <w:u w:val="single" w:color="954F72"/>
        </w:rPr>
        <w:t>Meeting</w:t>
      </w:r>
      <w:r>
        <w:rPr>
          <w:color w:val="954F72"/>
          <w:spacing w:val="-4"/>
          <w:u w:val="single" w:color="954F72"/>
        </w:rPr>
        <w:t xml:space="preserve"> </w:t>
      </w:r>
      <w:r>
        <w:rPr>
          <w:color w:val="954F72"/>
          <w:u w:val="single" w:color="954F72"/>
        </w:rPr>
        <w:t>Presentation</w:t>
      </w:r>
      <w:r>
        <w:rPr>
          <w:color w:val="954F72"/>
          <w:spacing w:val="-4"/>
          <w:u w:val="single" w:color="954F72"/>
        </w:rPr>
        <w:t xml:space="preserve"> </w:t>
      </w:r>
      <w:r>
        <w:rPr>
          <w:color w:val="954F72"/>
          <w:u w:val="single" w:color="954F72"/>
        </w:rPr>
        <w:t>and</w:t>
      </w:r>
      <w:r>
        <w:rPr>
          <w:color w:val="954F72"/>
          <w:spacing w:val="-4"/>
          <w:u w:val="single" w:color="954F72"/>
        </w:rPr>
        <w:t xml:space="preserve"> </w:t>
      </w:r>
      <w:r>
        <w:rPr>
          <w:color w:val="954F72"/>
          <w:u w:val="single" w:color="954F72"/>
        </w:rPr>
        <w:t>Audio</w:t>
      </w:r>
      <w:r>
        <w:rPr>
          <w:color w:val="954F72"/>
          <w:spacing w:val="-5"/>
        </w:rPr>
        <w:t xml:space="preserve"> </w:t>
      </w:r>
      <w:r>
        <w:t>on</w:t>
      </w:r>
      <w:r>
        <w:rPr>
          <w:spacing w:val="-4"/>
        </w:rPr>
        <w:t xml:space="preserve"> </w:t>
      </w:r>
      <w:r>
        <w:t>the</w:t>
      </w:r>
      <w:r>
        <w:rPr>
          <w:spacing w:val="-5"/>
        </w:rPr>
        <w:t xml:space="preserve"> </w:t>
      </w:r>
      <w:r>
        <w:t>Company’s website</w:t>
      </w:r>
      <w:r>
        <w:rPr>
          <w:color w:val="954F72"/>
          <w:u w:val="single" w:color="000000"/>
        </w:rPr>
        <w:t xml:space="preserve"> </w:t>
      </w:r>
      <w:r>
        <w:rPr>
          <w:color w:val="954F72"/>
          <w:u w:val="single" w:color="954F72"/>
        </w:rPr>
        <w:t>Keweenaw.com</w:t>
      </w:r>
      <w:r>
        <w:t>.</w:t>
      </w:r>
    </w:p>
    <w:p w14:paraId="3CBDEE66" w14:textId="77777777" w:rsidR="00683728" w:rsidRPr="00365F9F" w:rsidRDefault="00683728">
      <w:pPr>
        <w:pStyle w:val="BodyText"/>
        <w:ind w:left="0"/>
      </w:pPr>
    </w:p>
    <w:p w14:paraId="29F03A01" w14:textId="77777777" w:rsidR="0062466C" w:rsidRDefault="0062466C" w:rsidP="005B6CA8">
      <w:pPr>
        <w:ind w:left="115"/>
        <w:rPr>
          <w:sz w:val="24"/>
          <w:szCs w:val="24"/>
        </w:rPr>
      </w:pPr>
      <w:r w:rsidRPr="00365F9F">
        <w:rPr>
          <w:sz w:val="24"/>
          <w:szCs w:val="24"/>
        </w:rPr>
        <w:t xml:space="preserve">Contact: Paula J. Aijala, Secretary, Keweenaw Land Association, Limited, investors@keweenaw.com </w:t>
      </w:r>
    </w:p>
    <w:p w14:paraId="5D0E377F" w14:textId="77777777" w:rsidR="00365F9F" w:rsidRPr="00365F9F" w:rsidRDefault="00365F9F" w:rsidP="005B6CA8">
      <w:pPr>
        <w:ind w:left="115"/>
        <w:rPr>
          <w:sz w:val="24"/>
          <w:szCs w:val="24"/>
        </w:rPr>
      </w:pPr>
    </w:p>
    <w:p w14:paraId="115D969B" w14:textId="77777777" w:rsidR="000C4232" w:rsidRPr="000C4232" w:rsidRDefault="000C4232" w:rsidP="000C4232">
      <w:pPr>
        <w:rPr>
          <w:rFonts w:cstheme="minorHAnsi"/>
          <w:sz w:val="24"/>
          <w:szCs w:val="24"/>
        </w:rPr>
      </w:pPr>
      <w:r w:rsidRPr="000C4232">
        <w:rPr>
          <w:b/>
          <w:bCs/>
          <w:sz w:val="24"/>
          <w:szCs w:val="24"/>
        </w:rPr>
        <w:t xml:space="preserve">About Keweenaw Land Association, Limited: </w:t>
      </w:r>
      <w:r w:rsidRPr="000C4232">
        <w:rPr>
          <w:sz w:val="24"/>
          <w:szCs w:val="24"/>
        </w:rPr>
        <w:t xml:space="preserve">Keweenaw is a mineral and land management company located in Ironwood, Michigan. Keweenaw has land holdings of over 1.3 million acres of mineral rights, located </w:t>
      </w:r>
      <w:proofErr w:type="gramStart"/>
      <w:r w:rsidRPr="000C4232">
        <w:rPr>
          <w:sz w:val="24"/>
          <w:szCs w:val="24"/>
        </w:rPr>
        <w:t>predominantly in</w:t>
      </w:r>
      <w:proofErr w:type="gramEnd"/>
      <w:r w:rsidRPr="000C4232">
        <w:rPr>
          <w:sz w:val="24"/>
          <w:szCs w:val="24"/>
        </w:rPr>
        <w:t xml:space="preserve"> the western Upper Peninsula of Michigan and northern Wisconsin. Additional information is available on the Company's website at </w:t>
      </w:r>
      <w:hyperlink r:id="rId9" w:history="1">
        <w:r w:rsidRPr="000C4232">
          <w:rPr>
            <w:rStyle w:val="Hyperlink"/>
            <w:sz w:val="24"/>
            <w:szCs w:val="24"/>
          </w:rPr>
          <w:t>www.keweenaw.com</w:t>
        </w:r>
      </w:hyperlink>
      <w:r w:rsidRPr="000C4232">
        <w:rPr>
          <w:sz w:val="24"/>
          <w:szCs w:val="24"/>
        </w:rPr>
        <w:t xml:space="preserve">. </w:t>
      </w:r>
    </w:p>
    <w:p w14:paraId="13E42E1A" w14:textId="77777777" w:rsidR="000C4232" w:rsidRDefault="000C4232" w:rsidP="000C4232">
      <w:pPr>
        <w:rPr>
          <w:rFonts w:cstheme="minorHAnsi"/>
          <w:b/>
          <w:bCs/>
          <w:sz w:val="24"/>
          <w:szCs w:val="24"/>
        </w:rPr>
      </w:pPr>
    </w:p>
    <w:p w14:paraId="4E676B1C" w14:textId="04997C36" w:rsidR="000C4232" w:rsidRPr="000C4232" w:rsidRDefault="000C4232" w:rsidP="000C4232">
      <w:pPr>
        <w:rPr>
          <w:rFonts w:cstheme="minorHAnsi"/>
          <w:sz w:val="24"/>
          <w:szCs w:val="24"/>
        </w:rPr>
      </w:pPr>
      <w:r w:rsidRPr="000C4232">
        <w:rPr>
          <w:rFonts w:cstheme="minorHAnsi"/>
          <w:b/>
          <w:bCs/>
          <w:sz w:val="24"/>
          <w:szCs w:val="24"/>
        </w:rPr>
        <w:t>Forward-Looking Statements:</w:t>
      </w:r>
      <w:r w:rsidRPr="000C4232">
        <w:rPr>
          <w:rFonts w:cstheme="minorHAnsi"/>
          <w:sz w:val="24"/>
          <w:szCs w:val="24"/>
        </w:rPr>
        <w:t xml:space="preserve"> This release contains forward-looking statements. These forward-looking statements are subject to </w:t>
      </w:r>
      <w:proofErr w:type="gramStart"/>
      <w:r w:rsidRPr="000C4232">
        <w:rPr>
          <w:rFonts w:cstheme="minorHAnsi"/>
          <w:sz w:val="24"/>
          <w:szCs w:val="24"/>
        </w:rPr>
        <w:t>a number of</w:t>
      </w:r>
      <w:proofErr w:type="gramEnd"/>
      <w:r w:rsidRPr="000C4232">
        <w:rPr>
          <w:rFonts w:cstheme="minorHAnsi"/>
          <w:sz w:val="24"/>
          <w:szCs w:val="24"/>
        </w:rPr>
        <w:t xml:space="preserve"> risks and uncertainties and should not be relied upon as predictions of future events or promises of a given course of action. </w:t>
      </w:r>
      <w:proofErr w:type="gramStart"/>
      <w:r w:rsidRPr="000C4232">
        <w:rPr>
          <w:rFonts w:cstheme="minorHAnsi"/>
          <w:sz w:val="24"/>
          <w:szCs w:val="24"/>
        </w:rPr>
        <w:t>A number of</w:t>
      </w:r>
      <w:proofErr w:type="gramEnd"/>
      <w:r w:rsidRPr="000C4232">
        <w:rPr>
          <w:rFonts w:cstheme="minorHAnsi"/>
          <w:sz w:val="24"/>
          <w:szCs w:val="24"/>
        </w:rPr>
        <w:t xml:space="preserve"> factors such as changing economic conditions, price fluctuations, land use, environmental and other governmental regulations, and risk of loss from natural disasters, could cause actual results to differ materially from those described in the forward-looking statements. As with any investment, past performance is not a guarantee of future results. The Company is currently not subject to the filing requirements of the Securities Exchange Act of 1934, as amended. The Company </w:t>
      </w:r>
      <w:proofErr w:type="gramStart"/>
      <w:r w:rsidRPr="000C4232">
        <w:rPr>
          <w:rFonts w:cstheme="minorHAnsi"/>
          <w:sz w:val="24"/>
          <w:szCs w:val="24"/>
        </w:rPr>
        <w:t>is categorized</w:t>
      </w:r>
      <w:proofErr w:type="gramEnd"/>
      <w:r w:rsidRPr="000C4232">
        <w:rPr>
          <w:rFonts w:cstheme="minorHAnsi"/>
          <w:sz w:val="24"/>
          <w:szCs w:val="24"/>
        </w:rPr>
        <w:t xml:space="preserve"> as "Pink Limited Information" under the OTC Pink Sheets</w:t>
      </w:r>
      <w:r w:rsidR="0097014E">
        <w:rPr>
          <w:rFonts w:cstheme="minorHAnsi"/>
          <w:sz w:val="24"/>
          <w:szCs w:val="24"/>
        </w:rPr>
        <w:t>.</w:t>
      </w:r>
    </w:p>
    <w:p w14:paraId="3CBDEE82" w14:textId="7B18E1C0" w:rsidR="00683728" w:rsidRDefault="0097014E" w:rsidP="0097014E">
      <w:r>
        <w:t>.</w:t>
      </w:r>
    </w:p>
    <w:sectPr w:rsidR="00683728" w:rsidSect="0097014E">
      <w:footerReference w:type="default" r:id="rId10"/>
      <w:pgSz w:w="12240" w:h="15840"/>
      <w:pgMar w:top="1380" w:right="1320" w:bottom="720" w:left="132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BB18D" w14:textId="77777777" w:rsidR="00EB3C66" w:rsidRDefault="00EB3C66">
      <w:r>
        <w:separator/>
      </w:r>
    </w:p>
  </w:endnote>
  <w:endnote w:type="continuationSeparator" w:id="0">
    <w:p w14:paraId="503EFCEA" w14:textId="77777777" w:rsidR="00EB3C66" w:rsidRDefault="00EB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EE89" w14:textId="77777777" w:rsidR="00683728" w:rsidRDefault="000C5DD0">
    <w:pPr>
      <w:pStyle w:val="BodyText"/>
      <w:spacing w:line="14" w:lineRule="auto"/>
      <w:ind w:left="0"/>
      <w:rPr>
        <w:sz w:val="20"/>
      </w:rPr>
    </w:pPr>
    <w:r>
      <w:rPr>
        <w:noProof/>
      </w:rPr>
      <mc:AlternateContent>
        <mc:Choice Requires="wps">
          <w:drawing>
            <wp:anchor distT="0" distB="0" distL="0" distR="0" simplePos="0" relativeHeight="487509504" behindDoc="1" locked="0" layoutInCell="1" allowOverlap="1" wp14:anchorId="3CBDEE8A" wp14:editId="3CBDEE8B">
              <wp:simplePos x="0" y="0"/>
              <wp:positionH relativeFrom="page">
                <wp:posOffset>3791716</wp:posOffset>
              </wp:positionH>
              <wp:positionV relativeFrom="page">
                <wp:posOffset>9586040</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3CBDEE8C" w14:textId="77777777" w:rsidR="00683728" w:rsidRDefault="000C5DD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3CBDEE8A" id="_x0000_t202" coordsize="21600,21600" o:spt="202" path="m,l,21600r21600,l21600,xe">
              <v:stroke joinstyle="miter"/>
              <v:path gradientshapeok="t" o:connecttype="rect"/>
            </v:shapetype>
            <v:shape id="Textbox 1" o:spid="_x0000_s1026" type="#_x0000_t202" style="position:absolute;margin-left:298.55pt;margin-top:754.8pt;width:15.9pt;height:11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" filled="f" stroked="f">
              <v:textbox inset="0,0,0,0">
                <w:txbxContent>
                  <w:p w14:paraId="3CBDEE8C" w14:textId="77777777" w:rsidR="00683728" w:rsidRDefault="000C5DD0">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C04BD" w14:textId="77777777" w:rsidR="00EB3C66" w:rsidRDefault="00EB3C66">
      <w:r>
        <w:separator/>
      </w:r>
    </w:p>
  </w:footnote>
  <w:footnote w:type="continuationSeparator" w:id="0">
    <w:p w14:paraId="0F10FDFA" w14:textId="77777777" w:rsidR="00EB3C66" w:rsidRDefault="00EB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8"/>
    <w:rsid w:val="0006636C"/>
    <w:rsid w:val="00081700"/>
    <w:rsid w:val="000C3CA2"/>
    <w:rsid w:val="000C4232"/>
    <w:rsid w:val="000C5DD0"/>
    <w:rsid w:val="00116E43"/>
    <w:rsid w:val="001A3B86"/>
    <w:rsid w:val="002468C3"/>
    <w:rsid w:val="00276FFD"/>
    <w:rsid w:val="00354D43"/>
    <w:rsid w:val="00355F0B"/>
    <w:rsid w:val="00365F9F"/>
    <w:rsid w:val="003B232E"/>
    <w:rsid w:val="003D0629"/>
    <w:rsid w:val="0040043A"/>
    <w:rsid w:val="00494477"/>
    <w:rsid w:val="004C15BC"/>
    <w:rsid w:val="004C53CE"/>
    <w:rsid w:val="004C68F9"/>
    <w:rsid w:val="004E1C8F"/>
    <w:rsid w:val="00506AA6"/>
    <w:rsid w:val="005464CF"/>
    <w:rsid w:val="00570A4D"/>
    <w:rsid w:val="00577390"/>
    <w:rsid w:val="005B6CA8"/>
    <w:rsid w:val="0060227B"/>
    <w:rsid w:val="0062466C"/>
    <w:rsid w:val="00665400"/>
    <w:rsid w:val="00683728"/>
    <w:rsid w:val="00727439"/>
    <w:rsid w:val="00760D1A"/>
    <w:rsid w:val="007C4771"/>
    <w:rsid w:val="00801CEB"/>
    <w:rsid w:val="0080257B"/>
    <w:rsid w:val="008909A2"/>
    <w:rsid w:val="008A58BD"/>
    <w:rsid w:val="00924A1A"/>
    <w:rsid w:val="00937D7F"/>
    <w:rsid w:val="00964F4E"/>
    <w:rsid w:val="0097014E"/>
    <w:rsid w:val="00986551"/>
    <w:rsid w:val="00A72ED5"/>
    <w:rsid w:val="00A82876"/>
    <w:rsid w:val="00AB59C5"/>
    <w:rsid w:val="00BC2E41"/>
    <w:rsid w:val="00D057A0"/>
    <w:rsid w:val="00D52D32"/>
    <w:rsid w:val="00DD6FDF"/>
    <w:rsid w:val="00DD7B9E"/>
    <w:rsid w:val="00DE4485"/>
    <w:rsid w:val="00EB3C66"/>
    <w:rsid w:val="00EE3585"/>
    <w:rsid w:val="00F60878"/>
    <w:rsid w:val="00F7327F"/>
    <w:rsid w:val="00FC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EE3E"/>
  <w15:docId w15:val="{7E72950F-2424-4114-BE78-88D09458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66"/>
      <w:jc w:val="center"/>
    </w:pPr>
  </w:style>
  <w:style w:type="character" w:styleId="Hyperlink">
    <w:name w:val="Hyperlink"/>
    <w:basedOn w:val="DefaultParagraphFont"/>
    <w:uiPriority w:val="99"/>
    <w:unhideWhenUsed/>
    <w:rsid w:val="00570A4D"/>
    <w:rPr>
      <w:color w:val="0000FF" w:themeColor="hyperlink"/>
      <w:u w:val="single"/>
    </w:rPr>
  </w:style>
  <w:style w:type="character" w:styleId="UnresolvedMention">
    <w:name w:val="Unresolved Mention"/>
    <w:basedOn w:val="DefaultParagraphFont"/>
    <w:uiPriority w:val="99"/>
    <w:semiHidden/>
    <w:unhideWhenUsed/>
    <w:rsid w:val="00570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keween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DF886AB0048C419D0360FC7FE703FC" ma:contentTypeVersion="15" ma:contentTypeDescription="Create a new document." ma:contentTypeScope="" ma:versionID="6ab9cc482d0a58de78773431484a191f">
  <xsd:schema xmlns:xsd="http://www.w3.org/2001/XMLSchema" xmlns:xs="http://www.w3.org/2001/XMLSchema" xmlns:p="http://schemas.microsoft.com/office/2006/metadata/properties" xmlns:ns2="88047374-8836-41bb-a76a-5afb5d0ff50f" xmlns:ns3="e4edcc0e-82a1-43dd-b49f-c38e92389095" targetNamespace="http://schemas.microsoft.com/office/2006/metadata/properties" ma:root="true" ma:fieldsID="e17b7955fb1e917640c04f7998694064" ns2:_="" ns3:_="">
    <xsd:import namespace="88047374-8836-41bb-a76a-5afb5d0ff50f"/>
    <xsd:import namespace="e4edcc0e-82a1-43dd-b49f-c38e92389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47374-8836-41bb-a76a-5afb5d0ff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a47b3b-a286-49ce-b001-4a56c71697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dcc0e-82a1-43dd-b49f-c38e9238909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06a11dd-8157-45f6-9fde-e6cca3a17efc}" ma:internalName="TaxCatchAll" ma:showField="CatchAllData" ma:web="e4edcc0e-82a1-43dd-b49f-c38e923890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edcc0e-82a1-43dd-b49f-c38e92389095" xsi:nil="true"/>
    <lcf76f155ced4ddcb4097134ff3c332f xmlns="88047374-8836-41bb-a76a-5afb5d0ff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3FC2C-C755-44CD-A815-D63E43725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47374-8836-41bb-a76a-5afb5d0ff50f"/>
    <ds:schemaRef ds:uri="e4edcc0e-82a1-43dd-b49f-c38e92389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1513AD-F94C-4320-BFA4-BBB28A10ED3A}">
  <ds:schemaRefs>
    <ds:schemaRef ds:uri="http://schemas.microsoft.com/sharepoint/v3/contenttype/forms"/>
  </ds:schemaRefs>
</ds:datastoreItem>
</file>

<file path=customXml/itemProps3.xml><?xml version="1.0" encoding="utf-8"?>
<ds:datastoreItem xmlns:ds="http://schemas.openxmlformats.org/officeDocument/2006/customXml" ds:itemID="{9557722D-43A1-4106-8C8F-08EE6189ED2A}">
  <ds:schemaRefs>
    <ds:schemaRef ds:uri="http://schemas.microsoft.com/office/2006/metadata/properties"/>
    <ds:schemaRef ds:uri="http://schemas.microsoft.com/office/infopath/2007/PartnerControls"/>
    <ds:schemaRef ds:uri="e4edcc0e-82a1-43dd-b49f-c38e92389095"/>
    <ds:schemaRef ds:uri="88047374-8836-41bb-a76a-5afb5d0ff50f"/>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1967</Characters>
  <Application>Microsoft Office Word</Application>
  <DocSecurity>0</DocSecurity>
  <Lines>63</Lines>
  <Paragraphs>38</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Packet.pdf</dc:title>
  <dc:creator>Tim Lynott</dc:creator>
  <cp:lastModifiedBy>Paula Aijala</cp:lastModifiedBy>
  <cp:revision>18</cp:revision>
  <dcterms:created xsi:type="dcterms:W3CDTF">2026-05-04T15:20:00Z</dcterms:created>
  <dcterms:modified xsi:type="dcterms:W3CDTF">2026-05-05T17:18:00Z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LastSaved">
    <vt:filetime>2024-07-09T00:00:00Z</vt:filetime>
  </property>
  <property fmtid="{D5CDD505-2E9C-101B-9397-08002B2CF9AE}" pid="4" name="Producer">
    <vt:lpwstr>Microsoft: Print To PDF</vt:lpwstr>
  </property>
  <property fmtid="{D5CDD505-2E9C-101B-9397-08002B2CF9AE}" pid="5" name="ContentTypeId">
    <vt:lpwstr>0x0101001DDF886AB0048C419D0360FC7FE703FC</vt:lpwstr>
  </property>
  <property fmtid="{D5CDD505-2E9C-101B-9397-08002B2CF9AE}" pid="6" name="MediaServiceImageTags">
    <vt:lpwstr/>
  </property>
</Properties>
</file>